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1D2" w:rsidRDefault="00276461">
      <w:pPr>
        <w:jc w:val="center"/>
        <w:rPr>
          <w:rFonts w:ascii="Calibri" w:eastAsia="Calibri" w:hAnsi="Calibri" w:cs="Calibri"/>
          <w:sz w:val="22"/>
          <w:szCs w:val="22"/>
        </w:rPr>
      </w:pPr>
      <w:r>
        <w:rPr>
          <w:noProof/>
        </w:rPr>
        <w:drawing>
          <wp:anchor distT="0" distB="0" distL="114300" distR="114300" simplePos="0" relativeHeight="251658240" behindDoc="0" locked="0" layoutInCell="1" hidden="0" allowOverlap="1">
            <wp:simplePos x="0" y="0"/>
            <wp:positionH relativeFrom="column">
              <wp:posOffset>2362200</wp:posOffset>
            </wp:positionH>
            <wp:positionV relativeFrom="paragraph">
              <wp:posOffset>-615339</wp:posOffset>
            </wp:positionV>
            <wp:extent cx="1289612" cy="647700"/>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289612" cy="647700"/>
                    </a:xfrm>
                    <a:prstGeom prst="rect">
                      <a:avLst/>
                    </a:prstGeom>
                    <a:ln/>
                  </pic:spPr>
                </pic:pic>
              </a:graphicData>
            </a:graphic>
          </wp:anchor>
        </w:drawing>
      </w:r>
    </w:p>
    <w:p w:rsidR="000141D2" w:rsidRDefault="00276461">
      <w:pPr>
        <w:jc w:val="center"/>
        <w:rPr>
          <w:rFonts w:ascii="Calibri" w:eastAsia="Calibri" w:hAnsi="Calibri" w:cs="Calibri"/>
          <w:b/>
          <w:sz w:val="22"/>
          <w:szCs w:val="22"/>
        </w:rPr>
      </w:pPr>
      <w:r>
        <w:rPr>
          <w:rFonts w:ascii="Calibri" w:eastAsia="Calibri" w:hAnsi="Calibri" w:cs="Calibri"/>
          <w:b/>
          <w:sz w:val="22"/>
          <w:szCs w:val="22"/>
        </w:rPr>
        <w:t>Policy and Communications Intern</w:t>
      </w:r>
    </w:p>
    <w:p w:rsidR="000141D2" w:rsidRDefault="00276461">
      <w:pPr>
        <w:rPr>
          <w:rFonts w:ascii="Calibri" w:eastAsia="Calibri" w:hAnsi="Calibri" w:cs="Calibri"/>
          <w:b/>
          <w:sz w:val="22"/>
          <w:szCs w:val="22"/>
        </w:rPr>
      </w:pPr>
      <w:r>
        <w:rPr>
          <w:rFonts w:ascii="Calibri" w:eastAsia="Calibri" w:hAnsi="Calibri" w:cs="Calibri"/>
          <w:b/>
          <w:sz w:val="22"/>
          <w:szCs w:val="22"/>
        </w:rPr>
        <w:t xml:space="preserve">About Feeding Wisconsin: </w:t>
      </w:r>
    </w:p>
    <w:p w:rsidR="000141D2" w:rsidRDefault="00276461">
      <w:pPr>
        <w:tabs>
          <w:tab w:val="left" w:pos="-720"/>
        </w:tabs>
        <w:rPr>
          <w:rFonts w:ascii="Calibri" w:eastAsia="Calibri" w:hAnsi="Calibri" w:cs="Calibri"/>
          <w:sz w:val="22"/>
          <w:szCs w:val="22"/>
        </w:rPr>
      </w:pPr>
      <w:r>
        <w:rPr>
          <w:rFonts w:ascii="Calibri" w:eastAsia="Calibri" w:hAnsi="Calibri" w:cs="Calibri"/>
          <w:sz w:val="22"/>
          <w:szCs w:val="22"/>
        </w:rPr>
        <w:t xml:space="preserve">Feeding Wisconsin is the state association of the six regional Feeding America food banks that provide food to over 1,000 local food pantries and meal programs in all 72 counties of our state. Together with our network of foodbanks, food pantries, other local food distribution organizations and ending hunger, we advocate for improving public and private solutions for a healthy and hunger free Wisconsin. </w:t>
      </w:r>
    </w:p>
    <w:p w:rsidR="000141D2" w:rsidRDefault="000141D2">
      <w:pPr>
        <w:tabs>
          <w:tab w:val="left" w:pos="-720"/>
        </w:tabs>
        <w:rPr>
          <w:rFonts w:ascii="Calibri" w:eastAsia="Calibri" w:hAnsi="Calibri" w:cs="Calibri"/>
          <w:sz w:val="22"/>
          <w:szCs w:val="22"/>
        </w:rPr>
      </w:pPr>
    </w:p>
    <w:p w:rsidR="000141D2" w:rsidRDefault="00276461">
      <w:pPr>
        <w:rPr>
          <w:rFonts w:ascii="Calibri" w:eastAsia="Calibri" w:hAnsi="Calibri" w:cs="Calibri"/>
          <w:sz w:val="22"/>
          <w:szCs w:val="22"/>
        </w:rPr>
      </w:pPr>
      <w:r>
        <w:rPr>
          <w:rFonts w:ascii="Calibri" w:eastAsia="Calibri" w:hAnsi="Calibri" w:cs="Calibri"/>
          <w:b/>
          <w:sz w:val="22"/>
          <w:szCs w:val="22"/>
        </w:rPr>
        <w:t>Job Title:</w:t>
      </w:r>
      <w:r>
        <w:rPr>
          <w:rFonts w:ascii="Calibri" w:eastAsia="Calibri" w:hAnsi="Calibri" w:cs="Calibri"/>
          <w:sz w:val="22"/>
          <w:szCs w:val="22"/>
        </w:rPr>
        <w:t xml:space="preserve"> </w:t>
      </w:r>
      <w:r>
        <w:rPr>
          <w:rFonts w:ascii="Calibri" w:eastAsia="Calibri" w:hAnsi="Calibri" w:cs="Calibri"/>
          <w:sz w:val="22"/>
          <w:szCs w:val="22"/>
        </w:rPr>
        <w:tab/>
        <w:t>Policy and Communications Intern</w:t>
      </w:r>
    </w:p>
    <w:p w:rsidR="000141D2" w:rsidRDefault="00276461">
      <w:pPr>
        <w:spacing w:before="120"/>
        <w:rPr>
          <w:rFonts w:ascii="Calibri" w:eastAsia="Calibri" w:hAnsi="Calibri" w:cs="Calibri"/>
          <w:sz w:val="22"/>
          <w:szCs w:val="22"/>
        </w:rPr>
      </w:pPr>
      <w:r>
        <w:rPr>
          <w:rFonts w:ascii="Calibri" w:eastAsia="Calibri" w:hAnsi="Calibri" w:cs="Calibri"/>
          <w:b/>
          <w:sz w:val="22"/>
          <w:szCs w:val="22"/>
        </w:rPr>
        <w:t>Status</w:t>
      </w:r>
      <w:r>
        <w:rPr>
          <w:rFonts w:ascii="Calibri" w:eastAsia="Calibri" w:hAnsi="Calibri" w:cs="Calibri"/>
          <w:sz w:val="22"/>
          <w:szCs w:val="22"/>
        </w:rPr>
        <w:t xml:space="preserve">: </w:t>
      </w:r>
      <w:r>
        <w:rPr>
          <w:rFonts w:ascii="Calibri" w:eastAsia="Calibri" w:hAnsi="Calibri" w:cs="Calibri"/>
          <w:sz w:val="22"/>
          <w:szCs w:val="22"/>
        </w:rPr>
        <w:tab/>
        <w:t xml:space="preserve"> Graduate Internship through La </w:t>
      </w:r>
      <w:proofErr w:type="spellStart"/>
      <w:r>
        <w:rPr>
          <w:rFonts w:ascii="Calibri" w:eastAsia="Calibri" w:hAnsi="Calibri" w:cs="Calibri"/>
          <w:sz w:val="22"/>
          <w:szCs w:val="22"/>
        </w:rPr>
        <w:t>Follete</w:t>
      </w:r>
      <w:proofErr w:type="spellEnd"/>
      <w:r>
        <w:rPr>
          <w:rFonts w:ascii="Calibri" w:eastAsia="Calibri" w:hAnsi="Calibri" w:cs="Calibri"/>
          <w:sz w:val="22"/>
          <w:szCs w:val="22"/>
        </w:rPr>
        <w:t xml:space="preserve"> School of Public </w:t>
      </w:r>
      <w:proofErr w:type="spellStart"/>
      <w:r>
        <w:rPr>
          <w:rFonts w:ascii="Calibri" w:eastAsia="Calibri" w:hAnsi="Calibri" w:cs="Calibri"/>
          <w:sz w:val="22"/>
          <w:szCs w:val="22"/>
        </w:rPr>
        <w:t>Affiars</w:t>
      </w:r>
      <w:proofErr w:type="spellEnd"/>
      <w:r>
        <w:rPr>
          <w:rFonts w:ascii="Calibri" w:eastAsia="Calibri" w:hAnsi="Calibri" w:cs="Calibri"/>
          <w:sz w:val="22"/>
          <w:szCs w:val="22"/>
        </w:rPr>
        <w:t xml:space="preserve"> </w:t>
      </w:r>
    </w:p>
    <w:p w:rsidR="000141D2" w:rsidRDefault="00276461">
      <w:pPr>
        <w:spacing w:before="120"/>
        <w:rPr>
          <w:rFonts w:ascii="Calibri" w:eastAsia="Calibri" w:hAnsi="Calibri" w:cs="Calibri"/>
          <w:sz w:val="22"/>
          <w:szCs w:val="22"/>
        </w:rPr>
      </w:pPr>
      <w:r>
        <w:rPr>
          <w:rFonts w:ascii="Calibri" w:eastAsia="Calibri" w:hAnsi="Calibri" w:cs="Calibri"/>
          <w:b/>
          <w:sz w:val="22"/>
          <w:szCs w:val="22"/>
        </w:rPr>
        <w:t xml:space="preserve">Compensation: </w:t>
      </w:r>
      <w:r w:rsidR="0001168B">
        <w:rPr>
          <w:rFonts w:ascii="Calibri" w:eastAsia="Calibri" w:hAnsi="Calibri" w:cs="Calibri"/>
          <w:sz w:val="22"/>
          <w:szCs w:val="22"/>
        </w:rPr>
        <w:t>Stipend</w:t>
      </w:r>
    </w:p>
    <w:p w:rsidR="000141D2" w:rsidRDefault="00276461">
      <w:pPr>
        <w:spacing w:before="120"/>
        <w:rPr>
          <w:rFonts w:ascii="Calibri" w:eastAsia="Calibri" w:hAnsi="Calibri" w:cs="Calibri"/>
          <w:sz w:val="22"/>
          <w:szCs w:val="22"/>
        </w:rPr>
      </w:pPr>
      <w:bookmarkStart w:id="0" w:name="_GoBack"/>
      <w:bookmarkEnd w:id="0"/>
      <w:r>
        <w:rPr>
          <w:rFonts w:ascii="Calibri" w:eastAsia="Calibri" w:hAnsi="Calibri" w:cs="Calibri"/>
          <w:b/>
          <w:sz w:val="22"/>
          <w:szCs w:val="22"/>
        </w:rPr>
        <w:t>Reports to</w:t>
      </w:r>
      <w:r>
        <w:rPr>
          <w:rFonts w:ascii="Calibri" w:eastAsia="Calibri" w:hAnsi="Calibri" w:cs="Calibri"/>
          <w:sz w:val="22"/>
          <w:szCs w:val="22"/>
        </w:rPr>
        <w:t xml:space="preserve">: </w:t>
      </w:r>
      <w:r>
        <w:rPr>
          <w:rFonts w:ascii="Calibri" w:eastAsia="Calibri" w:hAnsi="Calibri" w:cs="Calibri"/>
          <w:sz w:val="22"/>
          <w:szCs w:val="22"/>
        </w:rPr>
        <w:tab/>
        <w:t xml:space="preserve">Executive Director and/or </w:t>
      </w:r>
      <w:proofErr w:type="spellStart"/>
      <w:r>
        <w:rPr>
          <w:rFonts w:ascii="Calibri" w:eastAsia="Calibri" w:hAnsi="Calibri" w:cs="Calibri"/>
          <w:sz w:val="22"/>
          <w:szCs w:val="22"/>
        </w:rPr>
        <w:t>FoodShare</w:t>
      </w:r>
      <w:proofErr w:type="spellEnd"/>
      <w:r>
        <w:rPr>
          <w:rFonts w:ascii="Calibri" w:eastAsia="Calibri" w:hAnsi="Calibri" w:cs="Calibri"/>
          <w:sz w:val="22"/>
          <w:szCs w:val="22"/>
        </w:rPr>
        <w:t xml:space="preserve"> Outreach Program Director </w:t>
      </w:r>
    </w:p>
    <w:p w:rsidR="000141D2" w:rsidRDefault="00276461">
      <w:pPr>
        <w:spacing w:before="120"/>
        <w:rPr>
          <w:rFonts w:ascii="Calibri" w:eastAsia="Calibri" w:hAnsi="Calibri" w:cs="Calibri"/>
          <w:sz w:val="22"/>
          <w:szCs w:val="22"/>
        </w:rPr>
      </w:pPr>
      <w:bookmarkStart w:id="1" w:name="_heading=h.gjdgxs" w:colFirst="0" w:colLast="0"/>
      <w:bookmarkEnd w:id="1"/>
      <w:r>
        <w:rPr>
          <w:rFonts w:ascii="Calibri" w:eastAsia="Calibri" w:hAnsi="Calibri" w:cs="Calibri"/>
          <w:b/>
          <w:sz w:val="22"/>
          <w:szCs w:val="22"/>
        </w:rPr>
        <w:t>Position Summary:</w:t>
      </w:r>
      <w:r>
        <w:rPr>
          <w:rFonts w:ascii="Calibri" w:eastAsia="Calibri" w:hAnsi="Calibri" w:cs="Calibri"/>
          <w:sz w:val="22"/>
          <w:szCs w:val="22"/>
        </w:rPr>
        <w:t xml:space="preserve"> The Policy and Communication Coordinator will work closely with both the Executive Director and </w:t>
      </w:r>
      <w:proofErr w:type="spellStart"/>
      <w:r>
        <w:rPr>
          <w:rFonts w:ascii="Calibri" w:eastAsia="Calibri" w:hAnsi="Calibri" w:cs="Calibri"/>
          <w:sz w:val="22"/>
          <w:szCs w:val="22"/>
        </w:rPr>
        <w:t>FoodShare</w:t>
      </w:r>
      <w:proofErr w:type="spellEnd"/>
      <w:r>
        <w:rPr>
          <w:rFonts w:ascii="Calibri" w:eastAsia="Calibri" w:hAnsi="Calibri" w:cs="Calibri"/>
          <w:sz w:val="22"/>
          <w:szCs w:val="22"/>
        </w:rPr>
        <w:t xml:space="preserve"> Outreach Program Director of Feeding Wisconsin and independently to perform a variety of policy and communications functions that will help advance Feeding Wisconsin’s mission of helping our food banks, partners, and stakeholders fight hunger, improve health, and strengthen communities. </w:t>
      </w:r>
    </w:p>
    <w:p w:rsidR="000141D2" w:rsidRDefault="00276461">
      <w:pPr>
        <w:spacing w:before="120"/>
        <w:rPr>
          <w:rFonts w:ascii="Calibri" w:eastAsia="Calibri" w:hAnsi="Calibri" w:cs="Calibri"/>
          <w:sz w:val="22"/>
          <w:szCs w:val="22"/>
        </w:rPr>
      </w:pPr>
      <w:r>
        <w:rPr>
          <w:rFonts w:ascii="Calibri" w:eastAsia="Calibri" w:hAnsi="Calibri" w:cs="Calibri"/>
          <w:b/>
          <w:sz w:val="22"/>
          <w:szCs w:val="22"/>
        </w:rPr>
        <w:t>Primary Responsibilities</w:t>
      </w:r>
      <w:r>
        <w:rPr>
          <w:rFonts w:ascii="Calibri" w:eastAsia="Calibri" w:hAnsi="Calibri" w:cs="Calibri"/>
          <w:sz w:val="22"/>
          <w:szCs w:val="22"/>
        </w:rPr>
        <w:t>: Specific tasks of the Policy and Communication Coordinator will include, but not be limited to the following:</w:t>
      </w:r>
    </w:p>
    <w:p w:rsidR="000141D2" w:rsidRDefault="00276461">
      <w:pPr>
        <w:numPr>
          <w:ilvl w:val="0"/>
          <w:numId w:val="1"/>
        </w:numPr>
        <w:rPr>
          <w:rFonts w:ascii="Calibri" w:eastAsia="Calibri" w:hAnsi="Calibri" w:cs="Calibri"/>
          <w:sz w:val="22"/>
          <w:szCs w:val="22"/>
        </w:rPr>
      </w:pPr>
      <w:r>
        <w:rPr>
          <w:rFonts w:ascii="Calibri" w:eastAsia="Calibri" w:hAnsi="Calibri" w:cs="Calibri"/>
          <w:sz w:val="22"/>
          <w:szCs w:val="22"/>
        </w:rPr>
        <w:t xml:space="preserve">Policy advocacy support: </w:t>
      </w:r>
    </w:p>
    <w:p w:rsidR="000141D2" w:rsidRDefault="00276461">
      <w:pPr>
        <w:numPr>
          <w:ilvl w:val="1"/>
          <w:numId w:val="1"/>
        </w:numPr>
        <w:rPr>
          <w:rFonts w:ascii="Calibri" w:eastAsia="Calibri" w:hAnsi="Calibri" w:cs="Calibri"/>
          <w:sz w:val="22"/>
          <w:szCs w:val="22"/>
        </w:rPr>
      </w:pPr>
      <w:r>
        <w:rPr>
          <w:rFonts w:ascii="Calibri" w:eastAsia="Calibri" w:hAnsi="Calibri" w:cs="Calibri"/>
          <w:sz w:val="22"/>
          <w:szCs w:val="22"/>
        </w:rPr>
        <w:t>Support grassroots advocacy efforts related to state and federal actions</w:t>
      </w:r>
    </w:p>
    <w:p w:rsidR="000141D2" w:rsidRDefault="00276461">
      <w:pPr>
        <w:numPr>
          <w:ilvl w:val="1"/>
          <w:numId w:val="1"/>
        </w:numPr>
        <w:rPr>
          <w:rFonts w:ascii="Calibri" w:eastAsia="Calibri" w:hAnsi="Calibri" w:cs="Calibri"/>
          <w:sz w:val="22"/>
          <w:szCs w:val="22"/>
        </w:rPr>
      </w:pPr>
      <w:r>
        <w:rPr>
          <w:rFonts w:ascii="Calibri" w:eastAsia="Calibri" w:hAnsi="Calibri" w:cs="Calibri"/>
          <w:sz w:val="22"/>
          <w:szCs w:val="22"/>
        </w:rPr>
        <w:t xml:space="preserve">Engage constituents through advocacy alerts, advocacy action emails, and targeted advocacy opportunities </w:t>
      </w:r>
    </w:p>
    <w:p w:rsidR="000141D2" w:rsidRDefault="00276461">
      <w:pPr>
        <w:numPr>
          <w:ilvl w:val="1"/>
          <w:numId w:val="1"/>
        </w:numPr>
        <w:rPr>
          <w:rFonts w:ascii="Calibri" w:eastAsia="Calibri" w:hAnsi="Calibri" w:cs="Calibri"/>
          <w:sz w:val="22"/>
          <w:szCs w:val="22"/>
        </w:rPr>
      </w:pPr>
      <w:r>
        <w:rPr>
          <w:rFonts w:ascii="Calibri" w:eastAsia="Calibri" w:hAnsi="Calibri" w:cs="Calibri"/>
          <w:sz w:val="22"/>
          <w:szCs w:val="22"/>
        </w:rPr>
        <w:t>Engage legislators through written educational pieces and coordinating legislative visits</w:t>
      </w:r>
    </w:p>
    <w:p w:rsidR="000141D2" w:rsidRDefault="00276461">
      <w:pPr>
        <w:numPr>
          <w:ilvl w:val="0"/>
          <w:numId w:val="1"/>
        </w:numPr>
        <w:rPr>
          <w:rFonts w:ascii="Calibri" w:eastAsia="Calibri" w:hAnsi="Calibri" w:cs="Calibri"/>
          <w:sz w:val="22"/>
          <w:szCs w:val="22"/>
        </w:rPr>
      </w:pPr>
      <w:r>
        <w:rPr>
          <w:rFonts w:ascii="Calibri" w:eastAsia="Calibri" w:hAnsi="Calibri" w:cs="Calibri"/>
          <w:sz w:val="22"/>
          <w:szCs w:val="22"/>
        </w:rPr>
        <w:t xml:space="preserve">Communications: </w:t>
      </w:r>
    </w:p>
    <w:p w:rsidR="000141D2" w:rsidRDefault="00276461">
      <w:pPr>
        <w:numPr>
          <w:ilvl w:val="1"/>
          <w:numId w:val="1"/>
        </w:numPr>
        <w:rPr>
          <w:rFonts w:ascii="Calibri" w:eastAsia="Calibri" w:hAnsi="Calibri" w:cs="Calibri"/>
          <w:sz w:val="22"/>
          <w:szCs w:val="22"/>
        </w:rPr>
      </w:pPr>
      <w:r>
        <w:rPr>
          <w:rFonts w:ascii="Calibri" w:eastAsia="Calibri" w:hAnsi="Calibri" w:cs="Calibri"/>
          <w:sz w:val="22"/>
          <w:szCs w:val="22"/>
        </w:rPr>
        <w:t>Contribute to Feeding Wisconsin’s social media including Facebook, Twitter, Instagram, Forward Together blog, and designing infographics.</w:t>
      </w:r>
    </w:p>
    <w:p w:rsidR="000141D2" w:rsidRDefault="00276461">
      <w:pPr>
        <w:numPr>
          <w:ilvl w:val="1"/>
          <w:numId w:val="1"/>
        </w:numPr>
        <w:rPr>
          <w:rFonts w:ascii="Calibri" w:eastAsia="Calibri" w:hAnsi="Calibri" w:cs="Calibri"/>
          <w:sz w:val="22"/>
          <w:szCs w:val="22"/>
        </w:rPr>
      </w:pPr>
      <w:r>
        <w:rPr>
          <w:rFonts w:ascii="Calibri" w:eastAsia="Calibri" w:hAnsi="Calibri" w:cs="Calibri"/>
          <w:sz w:val="22"/>
          <w:szCs w:val="22"/>
        </w:rPr>
        <w:t>Supporting relationship management with statewide donors, including written acknowledgements and social media support.</w:t>
      </w:r>
    </w:p>
    <w:p w:rsidR="000141D2" w:rsidRDefault="00276461">
      <w:pPr>
        <w:numPr>
          <w:ilvl w:val="0"/>
          <w:numId w:val="1"/>
        </w:numPr>
        <w:rPr>
          <w:rFonts w:ascii="Calibri" w:eastAsia="Calibri" w:hAnsi="Calibri" w:cs="Calibri"/>
          <w:sz w:val="22"/>
          <w:szCs w:val="22"/>
        </w:rPr>
      </w:pPr>
      <w:r>
        <w:rPr>
          <w:rFonts w:ascii="Calibri" w:eastAsia="Calibri" w:hAnsi="Calibri" w:cs="Calibri"/>
          <w:sz w:val="22"/>
          <w:szCs w:val="22"/>
        </w:rPr>
        <w:t xml:space="preserve">Supporting Event Planning and Network Engagement: </w:t>
      </w:r>
    </w:p>
    <w:p w:rsidR="000141D2" w:rsidRDefault="00276461">
      <w:pPr>
        <w:numPr>
          <w:ilvl w:val="1"/>
          <w:numId w:val="1"/>
        </w:numPr>
        <w:rPr>
          <w:rFonts w:ascii="Calibri" w:eastAsia="Calibri" w:hAnsi="Calibri" w:cs="Calibri"/>
          <w:sz w:val="22"/>
          <w:szCs w:val="22"/>
        </w:rPr>
      </w:pPr>
      <w:r>
        <w:rPr>
          <w:rFonts w:ascii="Calibri" w:eastAsia="Calibri" w:hAnsi="Calibri" w:cs="Calibri"/>
          <w:sz w:val="22"/>
          <w:szCs w:val="22"/>
        </w:rPr>
        <w:t xml:space="preserve">Support the statewide Learning Lab engagement and </w:t>
      </w:r>
      <w:proofErr w:type="gramStart"/>
      <w:r>
        <w:rPr>
          <w:rFonts w:ascii="Calibri" w:eastAsia="Calibri" w:hAnsi="Calibri" w:cs="Calibri"/>
          <w:sz w:val="22"/>
          <w:szCs w:val="22"/>
        </w:rPr>
        <w:t>training  of</w:t>
      </w:r>
      <w:proofErr w:type="gramEnd"/>
      <w:r>
        <w:rPr>
          <w:rFonts w:ascii="Calibri" w:eastAsia="Calibri" w:hAnsi="Calibri" w:cs="Calibri"/>
          <w:sz w:val="22"/>
          <w:szCs w:val="22"/>
        </w:rPr>
        <w:t xml:space="preserve"> constituents </w:t>
      </w:r>
    </w:p>
    <w:p w:rsidR="000141D2" w:rsidRDefault="00276461">
      <w:pPr>
        <w:numPr>
          <w:ilvl w:val="1"/>
          <w:numId w:val="1"/>
        </w:numPr>
        <w:rPr>
          <w:rFonts w:ascii="Calibri" w:eastAsia="Calibri" w:hAnsi="Calibri" w:cs="Calibri"/>
          <w:sz w:val="22"/>
          <w:szCs w:val="22"/>
        </w:rPr>
      </w:pPr>
      <w:r>
        <w:rPr>
          <w:rFonts w:ascii="Calibri" w:eastAsia="Calibri" w:hAnsi="Calibri" w:cs="Calibri"/>
          <w:sz w:val="22"/>
          <w:szCs w:val="22"/>
        </w:rPr>
        <w:t xml:space="preserve">Advocacy Day </w:t>
      </w:r>
    </w:p>
    <w:p w:rsidR="000141D2" w:rsidRDefault="00276461">
      <w:pPr>
        <w:numPr>
          <w:ilvl w:val="0"/>
          <w:numId w:val="1"/>
        </w:numPr>
        <w:rPr>
          <w:rFonts w:ascii="Calibri" w:eastAsia="Calibri" w:hAnsi="Calibri" w:cs="Calibri"/>
          <w:sz w:val="22"/>
          <w:szCs w:val="22"/>
        </w:rPr>
      </w:pPr>
      <w:r>
        <w:rPr>
          <w:rFonts w:ascii="Calibri" w:eastAsia="Calibri" w:hAnsi="Calibri" w:cs="Calibri"/>
          <w:sz w:val="22"/>
          <w:szCs w:val="22"/>
        </w:rPr>
        <w:t>Communicates professionally with all levels of staff from Feeding Wisconsin’s six-member food banks and other partner organizations.</w:t>
      </w:r>
    </w:p>
    <w:p w:rsidR="000141D2" w:rsidRDefault="00276461">
      <w:pPr>
        <w:numPr>
          <w:ilvl w:val="0"/>
          <w:numId w:val="1"/>
        </w:numPr>
        <w:rPr>
          <w:rFonts w:ascii="Calibri" w:eastAsia="Calibri" w:hAnsi="Calibri" w:cs="Calibri"/>
          <w:sz w:val="22"/>
          <w:szCs w:val="22"/>
        </w:rPr>
      </w:pPr>
      <w:r>
        <w:rPr>
          <w:rFonts w:ascii="Calibri" w:eastAsia="Calibri" w:hAnsi="Calibri" w:cs="Calibri"/>
          <w:sz w:val="22"/>
          <w:szCs w:val="22"/>
        </w:rPr>
        <w:t xml:space="preserve">Feeding Wisconsin </w:t>
      </w:r>
      <w:proofErr w:type="spellStart"/>
      <w:r>
        <w:rPr>
          <w:rFonts w:ascii="Calibri" w:eastAsia="Calibri" w:hAnsi="Calibri" w:cs="Calibri"/>
          <w:sz w:val="22"/>
          <w:szCs w:val="22"/>
        </w:rPr>
        <w:t>FoodShare</w:t>
      </w:r>
      <w:proofErr w:type="spellEnd"/>
      <w:r>
        <w:rPr>
          <w:rFonts w:ascii="Calibri" w:eastAsia="Calibri" w:hAnsi="Calibri" w:cs="Calibri"/>
          <w:sz w:val="22"/>
          <w:szCs w:val="22"/>
        </w:rPr>
        <w:t xml:space="preserve"> Helpline Outreach:</w:t>
      </w:r>
    </w:p>
    <w:p w:rsidR="000141D2" w:rsidRDefault="00276461">
      <w:pPr>
        <w:numPr>
          <w:ilvl w:val="1"/>
          <w:numId w:val="1"/>
        </w:numPr>
        <w:rPr>
          <w:rFonts w:ascii="Calibri" w:eastAsia="Calibri" w:hAnsi="Calibri" w:cs="Calibri"/>
          <w:sz w:val="22"/>
          <w:szCs w:val="22"/>
        </w:rPr>
      </w:pPr>
      <w:r>
        <w:rPr>
          <w:rFonts w:ascii="Calibri" w:eastAsia="Calibri" w:hAnsi="Calibri" w:cs="Calibri"/>
          <w:sz w:val="22"/>
          <w:szCs w:val="22"/>
        </w:rPr>
        <w:t xml:space="preserve">Provides detailed explanation of </w:t>
      </w:r>
      <w:proofErr w:type="spellStart"/>
      <w:r>
        <w:rPr>
          <w:rFonts w:ascii="Calibri" w:eastAsia="Calibri" w:hAnsi="Calibri" w:cs="Calibri"/>
          <w:sz w:val="22"/>
          <w:szCs w:val="22"/>
        </w:rPr>
        <w:t>FoodShare</w:t>
      </w:r>
      <w:proofErr w:type="spellEnd"/>
      <w:r>
        <w:rPr>
          <w:rFonts w:ascii="Calibri" w:eastAsia="Calibri" w:hAnsi="Calibri" w:cs="Calibri"/>
          <w:sz w:val="22"/>
          <w:szCs w:val="22"/>
        </w:rPr>
        <w:t xml:space="preserve"> benefits and application process</w:t>
      </w:r>
    </w:p>
    <w:p w:rsidR="000141D2" w:rsidRDefault="00276461">
      <w:pPr>
        <w:numPr>
          <w:ilvl w:val="1"/>
          <w:numId w:val="1"/>
        </w:numPr>
        <w:rPr>
          <w:rFonts w:ascii="Calibri" w:eastAsia="Calibri" w:hAnsi="Calibri" w:cs="Calibri"/>
          <w:sz w:val="22"/>
          <w:szCs w:val="22"/>
        </w:rPr>
      </w:pPr>
      <w:r>
        <w:rPr>
          <w:rFonts w:ascii="Calibri" w:eastAsia="Calibri" w:hAnsi="Calibri" w:cs="Calibri"/>
          <w:sz w:val="22"/>
          <w:szCs w:val="22"/>
        </w:rPr>
        <w:t>Screens callers using the State of Wisconsin’s ACCESS online tool and shares results with clients.</w:t>
      </w:r>
    </w:p>
    <w:p w:rsidR="000141D2" w:rsidRDefault="00276461">
      <w:pPr>
        <w:numPr>
          <w:ilvl w:val="1"/>
          <w:numId w:val="1"/>
        </w:numPr>
        <w:rPr>
          <w:rFonts w:ascii="Calibri" w:eastAsia="Calibri" w:hAnsi="Calibri" w:cs="Calibri"/>
          <w:sz w:val="22"/>
          <w:szCs w:val="22"/>
        </w:rPr>
      </w:pPr>
      <w:r>
        <w:rPr>
          <w:rFonts w:ascii="Calibri" w:eastAsia="Calibri" w:hAnsi="Calibri" w:cs="Calibri"/>
          <w:sz w:val="22"/>
          <w:szCs w:val="22"/>
        </w:rPr>
        <w:t xml:space="preserve">Schedules appointments with </w:t>
      </w:r>
      <w:proofErr w:type="spellStart"/>
      <w:r>
        <w:rPr>
          <w:rFonts w:ascii="Calibri" w:eastAsia="Calibri" w:hAnsi="Calibri" w:cs="Calibri"/>
          <w:sz w:val="22"/>
          <w:szCs w:val="22"/>
        </w:rPr>
        <w:t>FoodShare</w:t>
      </w:r>
      <w:proofErr w:type="spellEnd"/>
      <w:r>
        <w:rPr>
          <w:rFonts w:ascii="Calibri" w:eastAsia="Calibri" w:hAnsi="Calibri" w:cs="Calibri"/>
          <w:sz w:val="22"/>
          <w:szCs w:val="22"/>
        </w:rPr>
        <w:t xml:space="preserve"> Outreach Specialists statewide</w:t>
      </w:r>
    </w:p>
    <w:p w:rsidR="000141D2" w:rsidRDefault="00276461">
      <w:pPr>
        <w:numPr>
          <w:ilvl w:val="1"/>
          <w:numId w:val="1"/>
        </w:numPr>
        <w:rPr>
          <w:rFonts w:ascii="Calibri" w:eastAsia="Calibri" w:hAnsi="Calibri" w:cs="Calibri"/>
          <w:sz w:val="22"/>
          <w:szCs w:val="22"/>
        </w:rPr>
      </w:pPr>
      <w:r>
        <w:rPr>
          <w:rFonts w:ascii="Calibri" w:eastAsia="Calibri" w:hAnsi="Calibri" w:cs="Calibri"/>
          <w:sz w:val="22"/>
          <w:szCs w:val="22"/>
        </w:rPr>
        <w:t>Refers all callers in need of emergency food assistance to 2-1-1 information and referral service.</w:t>
      </w:r>
    </w:p>
    <w:p w:rsidR="000141D2" w:rsidRDefault="00276461">
      <w:pPr>
        <w:numPr>
          <w:ilvl w:val="0"/>
          <w:numId w:val="1"/>
        </w:numPr>
        <w:rPr>
          <w:rFonts w:ascii="Calibri" w:eastAsia="Calibri" w:hAnsi="Calibri" w:cs="Calibri"/>
          <w:sz w:val="22"/>
          <w:szCs w:val="22"/>
        </w:rPr>
      </w:pPr>
      <w:r>
        <w:rPr>
          <w:rFonts w:ascii="Calibri" w:eastAsia="Calibri" w:hAnsi="Calibri" w:cs="Calibri"/>
          <w:sz w:val="22"/>
          <w:szCs w:val="22"/>
        </w:rPr>
        <w:t>All other duties as assigned by the Executive Director.</w:t>
      </w:r>
    </w:p>
    <w:sectPr w:rsidR="000141D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DF62CC"/>
    <w:multiLevelType w:val="multilevel"/>
    <w:tmpl w:val="FE103B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1D2"/>
    <w:rsid w:val="0001168B"/>
    <w:rsid w:val="000141D2"/>
    <w:rsid w:val="00276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28D00"/>
  <w15:docId w15:val="{21A69809-2579-4420-B92A-0F9527F09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4047"/>
    <w:rPr>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25DB5"/>
    <w:pPr>
      <w:tabs>
        <w:tab w:val="center" w:pos="4680"/>
        <w:tab w:val="right" w:pos="9360"/>
      </w:tabs>
    </w:pPr>
  </w:style>
  <w:style w:type="character" w:customStyle="1" w:styleId="HeaderChar">
    <w:name w:val="Header Char"/>
    <w:basedOn w:val="DefaultParagraphFont"/>
    <w:link w:val="Header"/>
    <w:uiPriority w:val="99"/>
    <w:rsid w:val="00525DB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25DB5"/>
    <w:pPr>
      <w:tabs>
        <w:tab w:val="center" w:pos="4680"/>
        <w:tab w:val="right" w:pos="9360"/>
      </w:tabs>
    </w:pPr>
  </w:style>
  <w:style w:type="character" w:customStyle="1" w:styleId="FooterChar">
    <w:name w:val="Footer Char"/>
    <w:basedOn w:val="DefaultParagraphFont"/>
    <w:link w:val="Footer"/>
    <w:uiPriority w:val="99"/>
    <w:rsid w:val="00525DB5"/>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525DB5"/>
    <w:rPr>
      <w:rFonts w:ascii="Tahoma" w:hAnsi="Tahoma" w:cs="Tahoma"/>
      <w:sz w:val="16"/>
      <w:szCs w:val="16"/>
    </w:rPr>
  </w:style>
  <w:style w:type="character" w:customStyle="1" w:styleId="BalloonTextChar">
    <w:name w:val="Balloon Text Char"/>
    <w:basedOn w:val="DefaultParagraphFont"/>
    <w:link w:val="BalloonText"/>
    <w:uiPriority w:val="99"/>
    <w:semiHidden/>
    <w:rsid w:val="00525DB5"/>
    <w:rPr>
      <w:rFonts w:ascii="Tahoma" w:eastAsia="Times New Roman" w:hAnsi="Tahoma" w:cs="Tahoma"/>
      <w:sz w:val="16"/>
      <w:szCs w:val="16"/>
    </w:rPr>
  </w:style>
  <w:style w:type="paragraph" w:styleId="ListParagraph">
    <w:name w:val="List Paragraph"/>
    <w:basedOn w:val="Normal"/>
    <w:uiPriority w:val="34"/>
    <w:qFormat/>
    <w:rsid w:val="0056788B"/>
    <w:pPr>
      <w:ind w:left="720"/>
    </w:pPr>
    <w:rPr>
      <w:rFonts w:ascii="Calibri" w:eastAsiaTheme="minorHAnsi" w:hAnsi="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fSd/5EkMOAazsut/9AwQIWSmrg==">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Bellehumeur</dc:creator>
  <cp:lastModifiedBy>Jules Lee</cp:lastModifiedBy>
  <cp:revision>3</cp:revision>
  <dcterms:created xsi:type="dcterms:W3CDTF">2024-10-15T15:46:00Z</dcterms:created>
  <dcterms:modified xsi:type="dcterms:W3CDTF">2024-10-15T16:53:00Z</dcterms:modified>
</cp:coreProperties>
</file>